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4BE" w:rsidRPr="00B66508" w:rsidRDefault="00B124BE" w:rsidP="00B124BE">
      <w:pPr>
        <w:ind w:left="5652"/>
        <w:jc w:val="right"/>
        <w:rPr>
          <w:sz w:val="28"/>
          <w:szCs w:val="28"/>
        </w:rPr>
      </w:pPr>
      <w:r w:rsidRPr="000625FD">
        <w:rPr>
          <w:sz w:val="28"/>
          <w:szCs w:val="28"/>
        </w:rPr>
        <w:t xml:space="preserve">Приложение </w:t>
      </w:r>
      <w:r w:rsidR="00DC18B9">
        <w:rPr>
          <w:sz w:val="28"/>
          <w:szCs w:val="28"/>
        </w:rPr>
        <w:t>6</w:t>
      </w:r>
    </w:p>
    <w:p w:rsidR="00B124BE" w:rsidRDefault="009F186A" w:rsidP="00B124B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решению</w:t>
      </w:r>
      <w:r w:rsidR="00B124BE">
        <w:rPr>
          <w:color w:val="000000"/>
          <w:sz w:val="28"/>
          <w:szCs w:val="28"/>
        </w:rPr>
        <w:t xml:space="preserve"> Собрания</w:t>
      </w:r>
      <w:r w:rsidR="00B124BE">
        <w:rPr>
          <w:sz w:val="28"/>
          <w:szCs w:val="28"/>
        </w:rPr>
        <w:t xml:space="preserve"> депутатов </w:t>
      </w:r>
    </w:p>
    <w:p w:rsidR="00B124BE" w:rsidRDefault="00B124BE" w:rsidP="00B124B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Пролетарского сельского поселения </w:t>
      </w:r>
    </w:p>
    <w:p w:rsidR="00B124BE" w:rsidRDefault="00B124BE" w:rsidP="00B124B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Орловского района "О внесении изменений </w:t>
      </w:r>
    </w:p>
    <w:p w:rsidR="00B124BE" w:rsidRDefault="00B124BE" w:rsidP="00B124B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решение Собрания депутатов Пролетарского</w:t>
      </w:r>
    </w:p>
    <w:p w:rsidR="00B124BE" w:rsidRDefault="00AA2D18" w:rsidP="00B124B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поселения от 2</w:t>
      </w:r>
      <w:r>
        <w:rPr>
          <w:color w:val="000000"/>
          <w:sz w:val="28"/>
          <w:szCs w:val="28"/>
          <w:lang w:val="en-US"/>
        </w:rPr>
        <w:t>6</w:t>
      </w:r>
      <w:r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  <w:lang w:val="en-US"/>
        </w:rPr>
        <w:t>3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en-US"/>
        </w:rPr>
        <w:t>73</w:t>
      </w:r>
      <w:r w:rsidR="00B124BE">
        <w:rPr>
          <w:color w:val="000000"/>
          <w:sz w:val="28"/>
          <w:szCs w:val="28"/>
        </w:rPr>
        <w:t xml:space="preserve"> </w:t>
      </w:r>
    </w:p>
    <w:p w:rsidR="00B124BE" w:rsidRDefault="00B124BE" w:rsidP="00B124B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 бюджете Пролетарского сельского </w:t>
      </w:r>
    </w:p>
    <w:p w:rsidR="00B124BE" w:rsidRDefault="00B124BE" w:rsidP="00B124B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поселения </w:t>
      </w:r>
      <w:r w:rsidR="00AA2D18">
        <w:rPr>
          <w:color w:val="000000"/>
          <w:sz w:val="28"/>
          <w:szCs w:val="28"/>
        </w:rPr>
        <w:t>Орловского района на 202</w:t>
      </w:r>
      <w:r w:rsidR="00AA2D18" w:rsidRPr="00AA2D1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B124BE" w:rsidRPr="009E54D9" w:rsidRDefault="00AA2D18" w:rsidP="00B124BE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Pr="00AA2D18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Pr="00AA2D18">
        <w:rPr>
          <w:sz w:val="28"/>
          <w:szCs w:val="28"/>
        </w:rPr>
        <w:t>6</w:t>
      </w:r>
      <w:r w:rsidR="00B124BE">
        <w:rPr>
          <w:sz w:val="28"/>
          <w:szCs w:val="28"/>
        </w:rPr>
        <w:t xml:space="preserve"> годов</w:t>
      </w:r>
      <w:r w:rsidR="00B124BE">
        <w:rPr>
          <w:color w:val="000000"/>
          <w:sz w:val="28"/>
          <w:szCs w:val="28"/>
        </w:rPr>
        <w:t>»</w:t>
      </w:r>
      <w:r w:rsidR="00B124BE" w:rsidRPr="00174010">
        <w:t xml:space="preserve"> </w:t>
      </w:r>
    </w:p>
    <w:p w:rsidR="00B124BE" w:rsidRDefault="00DC18B9" w:rsidP="00B124BE">
      <w:pPr>
        <w:ind w:left="5652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от 2</w:t>
      </w:r>
      <w:r w:rsidR="009F186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.12</w:t>
      </w:r>
      <w:r w:rsidR="00AA2D18">
        <w:rPr>
          <w:color w:val="000000"/>
          <w:sz w:val="28"/>
          <w:szCs w:val="28"/>
        </w:rPr>
        <w:t>.202</w:t>
      </w:r>
      <w:r w:rsidR="00AA2D18" w:rsidRPr="00AA2D18">
        <w:rPr>
          <w:color w:val="000000"/>
          <w:sz w:val="28"/>
          <w:szCs w:val="28"/>
        </w:rPr>
        <w:t>4</w:t>
      </w:r>
      <w:r w:rsidR="00B124BE" w:rsidRPr="00746F8D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101</w:t>
      </w:r>
    </w:p>
    <w:p w:rsidR="00B124BE" w:rsidRDefault="00B124BE" w:rsidP="00E95280">
      <w:pPr>
        <w:ind w:left="5652"/>
        <w:jc w:val="right"/>
        <w:rPr>
          <w:sz w:val="28"/>
          <w:szCs w:val="28"/>
        </w:rPr>
      </w:pPr>
    </w:p>
    <w:p w:rsidR="00E95280" w:rsidRPr="00AA2D18" w:rsidRDefault="00AA2D18" w:rsidP="00E95280">
      <w:pPr>
        <w:ind w:left="565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AA2D18">
        <w:rPr>
          <w:sz w:val="28"/>
          <w:szCs w:val="28"/>
        </w:rPr>
        <w:t>9</w:t>
      </w:r>
    </w:p>
    <w:p w:rsidR="00E95280" w:rsidRDefault="00E95280" w:rsidP="00E9528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решению Собрания</w:t>
      </w:r>
      <w:r>
        <w:rPr>
          <w:sz w:val="28"/>
          <w:szCs w:val="28"/>
        </w:rPr>
        <w:t xml:space="preserve"> депутатов </w:t>
      </w:r>
    </w:p>
    <w:p w:rsidR="00E95280" w:rsidRDefault="00E95280" w:rsidP="00E9528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Пролетарского сельского поселения </w:t>
      </w:r>
    </w:p>
    <w:p w:rsidR="00433094" w:rsidRDefault="00B1285F" w:rsidP="00433094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Орловского района </w:t>
      </w:r>
      <w:r w:rsidR="0088278D">
        <w:rPr>
          <w:color w:val="000000"/>
          <w:sz w:val="28"/>
          <w:szCs w:val="28"/>
        </w:rPr>
        <w:t xml:space="preserve">«О </w:t>
      </w:r>
      <w:r w:rsidR="00E95280">
        <w:rPr>
          <w:color w:val="000000"/>
          <w:sz w:val="28"/>
          <w:szCs w:val="28"/>
        </w:rPr>
        <w:t xml:space="preserve">бюджете Пролетарского </w:t>
      </w:r>
    </w:p>
    <w:p w:rsidR="00E95280" w:rsidRPr="00433094" w:rsidRDefault="00E95280" w:rsidP="00433094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пос</w:t>
      </w:r>
      <w:r w:rsidR="00433094">
        <w:rPr>
          <w:color w:val="000000"/>
          <w:sz w:val="28"/>
          <w:szCs w:val="28"/>
        </w:rPr>
        <w:t xml:space="preserve">еления Орловского района </w:t>
      </w:r>
      <w:r w:rsidR="00AA2D18">
        <w:rPr>
          <w:color w:val="000000"/>
          <w:sz w:val="28"/>
          <w:szCs w:val="28"/>
        </w:rPr>
        <w:t>на 202</w:t>
      </w:r>
      <w:r w:rsidR="00AA2D18" w:rsidRPr="00AA2D1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</w:p>
    <w:p w:rsidR="00E95280" w:rsidRPr="009E54D9" w:rsidRDefault="00AA2D18" w:rsidP="00E95280">
      <w:pPr>
        <w:widowControl w:val="0"/>
        <w:tabs>
          <w:tab w:val="center" w:pos="7623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Pr="00AA2D18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Pr="00AA2D18">
        <w:rPr>
          <w:sz w:val="28"/>
          <w:szCs w:val="28"/>
        </w:rPr>
        <w:t>6</w:t>
      </w:r>
      <w:r w:rsidR="00E95280">
        <w:rPr>
          <w:sz w:val="28"/>
          <w:szCs w:val="28"/>
        </w:rPr>
        <w:t xml:space="preserve"> годов</w:t>
      </w:r>
      <w:r w:rsidR="00E95280">
        <w:rPr>
          <w:color w:val="000000"/>
          <w:sz w:val="28"/>
          <w:szCs w:val="28"/>
        </w:rPr>
        <w:t>»</w:t>
      </w:r>
      <w:r w:rsidR="00E95280" w:rsidRPr="00174010">
        <w:t xml:space="preserve"> </w:t>
      </w:r>
    </w:p>
    <w:p w:rsidR="00E95280" w:rsidRPr="00AA2D18" w:rsidRDefault="00AA2D18" w:rsidP="00201B3D">
      <w:pPr>
        <w:ind w:left="5652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от 2</w:t>
      </w:r>
      <w:r w:rsidRPr="00AA2D18">
        <w:rPr>
          <w:color w:val="000000"/>
          <w:sz w:val="28"/>
          <w:szCs w:val="28"/>
        </w:rPr>
        <w:t>6</w:t>
      </w:r>
      <w:r w:rsidR="00C33810">
        <w:rPr>
          <w:color w:val="000000"/>
          <w:sz w:val="28"/>
          <w:szCs w:val="28"/>
        </w:rPr>
        <w:t>.12</w:t>
      </w:r>
      <w:r>
        <w:rPr>
          <w:color w:val="000000"/>
          <w:sz w:val="28"/>
          <w:szCs w:val="28"/>
        </w:rPr>
        <w:t>.202</w:t>
      </w:r>
      <w:r w:rsidRPr="00AA2D18">
        <w:rPr>
          <w:color w:val="000000"/>
          <w:sz w:val="28"/>
          <w:szCs w:val="28"/>
        </w:rPr>
        <w:t>3</w:t>
      </w:r>
      <w:r w:rsidR="00746F8D" w:rsidRPr="00746F8D">
        <w:rPr>
          <w:color w:val="000000"/>
          <w:sz w:val="28"/>
          <w:szCs w:val="28"/>
        </w:rPr>
        <w:t xml:space="preserve"> № </w:t>
      </w:r>
      <w:r w:rsidRPr="00AA2D18">
        <w:rPr>
          <w:color w:val="000000"/>
          <w:sz w:val="28"/>
          <w:szCs w:val="28"/>
        </w:rPr>
        <w:t>73</w:t>
      </w:r>
    </w:p>
    <w:p w:rsidR="00214826" w:rsidRDefault="00214826" w:rsidP="00201B3D">
      <w:pPr>
        <w:jc w:val="right"/>
        <w:rPr>
          <w:color w:val="000000"/>
          <w:sz w:val="28"/>
          <w:szCs w:val="28"/>
        </w:rPr>
      </w:pPr>
    </w:p>
    <w:p w:rsidR="00214826" w:rsidRPr="00DC18B9" w:rsidRDefault="00BD351F" w:rsidP="00DC18B9">
      <w:pPr>
        <w:tabs>
          <w:tab w:val="left" w:pos="0"/>
        </w:tabs>
        <w:jc w:val="center"/>
        <w:rPr>
          <w:iCs/>
          <w:sz w:val="28"/>
          <w:szCs w:val="28"/>
        </w:rPr>
      </w:pPr>
      <w:r w:rsidRPr="00BD351F">
        <w:rPr>
          <w:iCs/>
          <w:sz w:val="28"/>
          <w:szCs w:val="28"/>
        </w:rPr>
        <w:t xml:space="preserve">Иные межбюджетные трансферты, выделяемые бюджету </w:t>
      </w:r>
      <w:r>
        <w:rPr>
          <w:iCs/>
          <w:sz w:val="28"/>
          <w:szCs w:val="28"/>
        </w:rPr>
        <w:t>Пролетарского</w:t>
      </w:r>
      <w:r w:rsidRPr="00BD351F">
        <w:rPr>
          <w:iCs/>
          <w:sz w:val="28"/>
          <w:szCs w:val="28"/>
        </w:rPr>
        <w:t xml:space="preserve"> сельского поселения Орловского района на расходные обязательства, возникающие при выполнении полномочий органов местного самоуправления по вопросам местного значения за счет </w:t>
      </w:r>
      <w:r w:rsidR="00AA2D18">
        <w:rPr>
          <w:iCs/>
          <w:sz w:val="28"/>
          <w:szCs w:val="28"/>
        </w:rPr>
        <w:t>средств местного бюджета на 202</w:t>
      </w:r>
      <w:r w:rsidR="00AA2D18" w:rsidRPr="00AA2D18">
        <w:rPr>
          <w:iCs/>
          <w:sz w:val="28"/>
          <w:szCs w:val="28"/>
        </w:rPr>
        <w:t>4</w:t>
      </w:r>
      <w:r w:rsidRPr="00BD351F">
        <w:rPr>
          <w:iCs/>
          <w:sz w:val="28"/>
          <w:szCs w:val="28"/>
        </w:rPr>
        <w:t xml:space="preserve"> год и на плановый период </w:t>
      </w:r>
      <w:r w:rsidR="00AA2D18">
        <w:rPr>
          <w:iCs/>
          <w:sz w:val="28"/>
          <w:szCs w:val="28"/>
        </w:rPr>
        <w:t>202</w:t>
      </w:r>
      <w:r w:rsidR="00AA2D18" w:rsidRPr="00DC18B9">
        <w:rPr>
          <w:iCs/>
          <w:sz w:val="28"/>
          <w:szCs w:val="28"/>
        </w:rPr>
        <w:t>5</w:t>
      </w:r>
      <w:r w:rsidR="00AA2D18">
        <w:rPr>
          <w:iCs/>
          <w:sz w:val="28"/>
          <w:szCs w:val="28"/>
        </w:rPr>
        <w:t xml:space="preserve"> и 202</w:t>
      </w:r>
      <w:r w:rsidR="00AA2D18" w:rsidRPr="00DC18B9">
        <w:rPr>
          <w:iCs/>
          <w:sz w:val="28"/>
          <w:szCs w:val="28"/>
        </w:rPr>
        <w:t>6</w:t>
      </w:r>
      <w:r w:rsidRPr="00BD351F">
        <w:rPr>
          <w:iCs/>
          <w:sz w:val="28"/>
          <w:szCs w:val="28"/>
        </w:rPr>
        <w:t xml:space="preserve"> годов         </w:t>
      </w:r>
    </w:p>
    <w:p w:rsidR="00010D3B" w:rsidRPr="005B3940" w:rsidRDefault="00DA6B30" w:rsidP="003F3902">
      <w:pPr>
        <w:tabs>
          <w:tab w:val="left" w:pos="2130"/>
          <w:tab w:val="center" w:pos="7285"/>
          <w:tab w:val="left" w:pos="13560"/>
        </w:tabs>
        <w:jc w:val="right"/>
        <w:rPr>
          <w:sz w:val="28"/>
          <w:szCs w:val="28"/>
        </w:rPr>
      </w:pPr>
      <w:r w:rsidRPr="005B3940">
        <w:rPr>
          <w:sz w:val="28"/>
          <w:szCs w:val="28"/>
        </w:rPr>
        <w:t>тыс. рублей</w:t>
      </w:r>
    </w:p>
    <w:p w:rsidR="003F3902" w:rsidRPr="00985247" w:rsidRDefault="003F3902" w:rsidP="003F3902">
      <w:pPr>
        <w:tabs>
          <w:tab w:val="left" w:pos="2130"/>
          <w:tab w:val="center" w:pos="7285"/>
          <w:tab w:val="left" w:pos="13560"/>
        </w:tabs>
        <w:jc w:val="right"/>
      </w:pPr>
    </w:p>
    <w:tbl>
      <w:tblPr>
        <w:tblW w:w="9639" w:type="dxa"/>
        <w:tblInd w:w="534" w:type="dxa"/>
        <w:tblLayout w:type="fixed"/>
        <w:tblLook w:val="0000"/>
      </w:tblPr>
      <w:tblGrid>
        <w:gridCol w:w="5528"/>
        <w:gridCol w:w="1276"/>
        <w:gridCol w:w="1417"/>
        <w:gridCol w:w="1418"/>
      </w:tblGrid>
      <w:tr w:rsidR="00CB4CB4" w:rsidRPr="005B3940" w:rsidTr="009A77A3">
        <w:trPr>
          <w:trHeight w:val="360"/>
        </w:trPr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 w:rsidP="00E46D87">
            <w:pPr>
              <w:ind w:right="450"/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Наименование направления иных межбюджетных трансфертов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CB4" w:rsidRPr="005B3940" w:rsidRDefault="00CB4CB4" w:rsidP="00B807EF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</w:t>
            </w:r>
            <w:r w:rsidR="00AA2D18">
              <w:rPr>
                <w:bCs/>
                <w:sz w:val="28"/>
                <w:szCs w:val="28"/>
              </w:rPr>
              <w:t>2</w:t>
            </w:r>
            <w:r w:rsidR="00AA2D18">
              <w:rPr>
                <w:bCs/>
                <w:sz w:val="28"/>
                <w:szCs w:val="28"/>
                <w:lang w:val="en-US"/>
              </w:rPr>
              <w:t>4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  <w:p w:rsidR="00CB4CB4" w:rsidRPr="005B3940" w:rsidRDefault="00CB4CB4" w:rsidP="00E46D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B807EF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Плановый период</w:t>
            </w:r>
          </w:p>
        </w:tc>
      </w:tr>
      <w:tr w:rsidR="00CB4CB4" w:rsidRPr="005B3940" w:rsidTr="00DC18B9">
        <w:trPr>
          <w:trHeight w:val="512"/>
        </w:trPr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4CB4" w:rsidRPr="005B3940" w:rsidRDefault="00CB4CB4" w:rsidP="00E46D8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4850A0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</w:t>
            </w:r>
            <w:r w:rsidR="006821D0" w:rsidRPr="005B3940">
              <w:rPr>
                <w:bCs/>
                <w:sz w:val="28"/>
                <w:szCs w:val="28"/>
              </w:rPr>
              <w:t>2</w:t>
            </w:r>
            <w:r w:rsidR="00AA2D18">
              <w:rPr>
                <w:bCs/>
                <w:sz w:val="28"/>
                <w:szCs w:val="28"/>
                <w:lang w:val="en-US"/>
              </w:rPr>
              <w:t>5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CB4" w:rsidRPr="005B3940" w:rsidRDefault="00CB4CB4" w:rsidP="006821D0">
            <w:pPr>
              <w:jc w:val="center"/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>202</w:t>
            </w:r>
            <w:r w:rsidR="00AA2D18">
              <w:rPr>
                <w:bCs/>
                <w:sz w:val="28"/>
                <w:szCs w:val="28"/>
                <w:lang w:val="en-US"/>
              </w:rPr>
              <w:t>6</w:t>
            </w:r>
            <w:r w:rsidRPr="005B3940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CB4CB4" w:rsidRPr="005B3940" w:rsidTr="009A77A3">
        <w:trPr>
          <w:trHeight w:val="31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B4" w:rsidRPr="005B3940" w:rsidRDefault="00CB4CB4" w:rsidP="003F3902">
            <w:pPr>
              <w:jc w:val="center"/>
              <w:rPr>
                <w:sz w:val="28"/>
                <w:szCs w:val="28"/>
              </w:rPr>
            </w:pPr>
            <w:r w:rsidRPr="005B3940">
              <w:rPr>
                <w:sz w:val="28"/>
                <w:szCs w:val="28"/>
              </w:rPr>
              <w:t>4</w:t>
            </w:r>
          </w:p>
        </w:tc>
      </w:tr>
      <w:tr w:rsidR="00201B3D" w:rsidRPr="005B3940" w:rsidTr="009A77A3">
        <w:trPr>
          <w:trHeight w:val="67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B3D" w:rsidRPr="005B3940" w:rsidRDefault="00201B3D" w:rsidP="005B3940">
            <w:pPr>
              <w:rPr>
                <w:bCs/>
                <w:sz w:val="28"/>
                <w:szCs w:val="28"/>
              </w:rPr>
            </w:pPr>
            <w:r w:rsidRPr="005B3940">
              <w:rPr>
                <w:bCs/>
                <w:sz w:val="28"/>
                <w:szCs w:val="28"/>
              </w:rPr>
              <w:t xml:space="preserve">ИТОГО:  по главному распорядителю - Администрации </w:t>
            </w:r>
            <w:r w:rsidR="005B3940" w:rsidRPr="005B3940">
              <w:rPr>
                <w:bCs/>
                <w:sz w:val="28"/>
                <w:szCs w:val="28"/>
              </w:rPr>
              <w:t>Пролетарского</w:t>
            </w:r>
            <w:r w:rsidRPr="005B3940">
              <w:rPr>
                <w:bCs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9F186A" w:rsidRDefault="00DC18B9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F186A">
              <w:rPr>
                <w:sz w:val="28"/>
                <w:szCs w:val="28"/>
              </w:rPr>
              <w:t>93,8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BD351F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B3D" w:rsidRPr="005B3940" w:rsidRDefault="00BD351F" w:rsidP="00201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B1240" w:rsidRPr="005B3940" w:rsidTr="009A77A3">
        <w:trPr>
          <w:trHeight w:val="5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240" w:rsidRDefault="00DC18B9" w:rsidP="00DC1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AA2D18">
              <w:rPr>
                <w:sz w:val="28"/>
                <w:szCs w:val="28"/>
              </w:rPr>
              <w:t>На проведение ремонта муниципальных учреждений культуры</w:t>
            </w:r>
            <w:r w:rsidR="00A3252C" w:rsidRPr="00BD351F">
              <w:rPr>
                <w:sz w:val="28"/>
                <w:szCs w:val="28"/>
              </w:rPr>
              <w:t xml:space="preserve"> ПР 0</w:t>
            </w:r>
            <w:r w:rsidR="00A3252C">
              <w:rPr>
                <w:sz w:val="28"/>
                <w:szCs w:val="28"/>
              </w:rPr>
              <w:t>8</w:t>
            </w:r>
            <w:r w:rsidR="00A3252C" w:rsidRPr="00BD351F">
              <w:rPr>
                <w:sz w:val="28"/>
                <w:szCs w:val="28"/>
              </w:rPr>
              <w:t>0</w:t>
            </w:r>
            <w:r w:rsidR="00A3252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40" w:rsidRPr="009F186A" w:rsidRDefault="009F186A" w:rsidP="00AA2D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1240" w:rsidRPr="005B3940" w:rsidRDefault="007B1240" w:rsidP="00AA2D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240" w:rsidRPr="005B3940" w:rsidRDefault="007B1240" w:rsidP="00AA2D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C18B9" w:rsidRPr="005B3940" w:rsidTr="00DC18B9">
        <w:trPr>
          <w:trHeight w:val="5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8B9" w:rsidRDefault="00DC18B9" w:rsidP="00DC1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DC18B9">
              <w:rPr>
                <w:sz w:val="28"/>
                <w:szCs w:val="28"/>
              </w:rPr>
              <w:t>Иные межбюджетные трансферты бюджетам бюджетной системы Российской Федерации по иным непрограммным мероприятиям в рамках подпрограммы "Нормативно-методическое обеспечение и организация бюджетного процесса" муниципальной программы Пролетарского сельского поселения Орловского района "Эффективное управление муниципальными финансами"</w:t>
            </w:r>
            <w:r w:rsidRPr="00BD351F">
              <w:rPr>
                <w:sz w:val="28"/>
                <w:szCs w:val="28"/>
              </w:rPr>
              <w:t xml:space="preserve"> ПР 0</w:t>
            </w:r>
            <w:r>
              <w:rPr>
                <w:sz w:val="28"/>
                <w:szCs w:val="28"/>
              </w:rPr>
              <w:t>1</w:t>
            </w:r>
            <w:r w:rsidRPr="00BD351F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B9" w:rsidRDefault="00DC18B9" w:rsidP="00DC1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18B9" w:rsidRDefault="00DC18B9" w:rsidP="00DC1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B9" w:rsidRDefault="00DC18B9" w:rsidP="00DC1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2A799A" w:rsidRPr="00985247" w:rsidRDefault="002A799A" w:rsidP="00B807EF">
      <w:pPr>
        <w:tabs>
          <w:tab w:val="left" w:pos="2130"/>
          <w:tab w:val="center" w:pos="7285"/>
          <w:tab w:val="left" w:pos="13560"/>
        </w:tabs>
      </w:pPr>
    </w:p>
    <w:sectPr w:rsidR="002A799A" w:rsidRPr="00985247" w:rsidSect="009A77A3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C37" w:rsidRDefault="00CF4C37" w:rsidP="00885AF7">
      <w:r>
        <w:separator/>
      </w:r>
    </w:p>
  </w:endnote>
  <w:endnote w:type="continuationSeparator" w:id="1">
    <w:p w:rsidR="00CF4C37" w:rsidRDefault="00CF4C37" w:rsidP="00885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C37" w:rsidRDefault="00CF4C37" w:rsidP="00885AF7">
      <w:r>
        <w:separator/>
      </w:r>
    </w:p>
  </w:footnote>
  <w:footnote w:type="continuationSeparator" w:id="1">
    <w:p w:rsidR="00CF4C37" w:rsidRDefault="00CF4C37" w:rsidP="00885A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5A6A"/>
    <w:multiLevelType w:val="hybridMultilevel"/>
    <w:tmpl w:val="61CE7AF2"/>
    <w:lvl w:ilvl="0" w:tplc="14A44E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90A80"/>
    <w:multiLevelType w:val="hybridMultilevel"/>
    <w:tmpl w:val="C792BB4A"/>
    <w:lvl w:ilvl="0" w:tplc="89BC699A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4" w:hanging="360"/>
      </w:pPr>
    </w:lvl>
    <w:lvl w:ilvl="2" w:tplc="0419001B" w:tentative="1">
      <w:start w:val="1"/>
      <w:numFmt w:val="lowerRoman"/>
      <w:lvlText w:val="%3."/>
      <w:lvlJc w:val="right"/>
      <w:pPr>
        <w:ind w:left="1854" w:hanging="180"/>
      </w:pPr>
    </w:lvl>
    <w:lvl w:ilvl="3" w:tplc="0419000F" w:tentative="1">
      <w:start w:val="1"/>
      <w:numFmt w:val="decimal"/>
      <w:lvlText w:val="%4."/>
      <w:lvlJc w:val="left"/>
      <w:pPr>
        <w:ind w:left="2574" w:hanging="360"/>
      </w:pPr>
    </w:lvl>
    <w:lvl w:ilvl="4" w:tplc="04190019" w:tentative="1">
      <w:start w:val="1"/>
      <w:numFmt w:val="lowerLetter"/>
      <w:lvlText w:val="%5."/>
      <w:lvlJc w:val="left"/>
      <w:pPr>
        <w:ind w:left="3294" w:hanging="360"/>
      </w:pPr>
    </w:lvl>
    <w:lvl w:ilvl="5" w:tplc="0419001B" w:tentative="1">
      <w:start w:val="1"/>
      <w:numFmt w:val="lowerRoman"/>
      <w:lvlText w:val="%6."/>
      <w:lvlJc w:val="right"/>
      <w:pPr>
        <w:ind w:left="4014" w:hanging="180"/>
      </w:pPr>
    </w:lvl>
    <w:lvl w:ilvl="6" w:tplc="0419000F" w:tentative="1">
      <w:start w:val="1"/>
      <w:numFmt w:val="decimal"/>
      <w:lvlText w:val="%7."/>
      <w:lvlJc w:val="left"/>
      <w:pPr>
        <w:ind w:left="4734" w:hanging="360"/>
      </w:pPr>
    </w:lvl>
    <w:lvl w:ilvl="7" w:tplc="04190019" w:tentative="1">
      <w:start w:val="1"/>
      <w:numFmt w:val="lowerLetter"/>
      <w:lvlText w:val="%8."/>
      <w:lvlJc w:val="left"/>
      <w:pPr>
        <w:ind w:left="5454" w:hanging="360"/>
      </w:pPr>
    </w:lvl>
    <w:lvl w:ilvl="8" w:tplc="0419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5B17"/>
    <w:rsid w:val="00004746"/>
    <w:rsid w:val="00010D3B"/>
    <w:rsid w:val="000251E7"/>
    <w:rsid w:val="00036134"/>
    <w:rsid w:val="00062C27"/>
    <w:rsid w:val="00074EA8"/>
    <w:rsid w:val="00087A09"/>
    <w:rsid w:val="000A15B4"/>
    <w:rsid w:val="00105A2A"/>
    <w:rsid w:val="00114741"/>
    <w:rsid w:val="0013453D"/>
    <w:rsid w:val="00134C32"/>
    <w:rsid w:val="00137DAC"/>
    <w:rsid w:val="001452A6"/>
    <w:rsid w:val="00150795"/>
    <w:rsid w:val="001572B3"/>
    <w:rsid w:val="001E3F2A"/>
    <w:rsid w:val="001E7DCA"/>
    <w:rsid w:val="00201B3D"/>
    <w:rsid w:val="00205A16"/>
    <w:rsid w:val="00214826"/>
    <w:rsid w:val="00234E9D"/>
    <w:rsid w:val="00235948"/>
    <w:rsid w:val="00260787"/>
    <w:rsid w:val="00290801"/>
    <w:rsid w:val="002A799A"/>
    <w:rsid w:val="002B02D4"/>
    <w:rsid w:val="002D00B1"/>
    <w:rsid w:val="002D218A"/>
    <w:rsid w:val="002D79B6"/>
    <w:rsid w:val="002E7ABB"/>
    <w:rsid w:val="00302C4F"/>
    <w:rsid w:val="00313A98"/>
    <w:rsid w:val="00327AA2"/>
    <w:rsid w:val="00334198"/>
    <w:rsid w:val="003D72FF"/>
    <w:rsid w:val="003F1BCD"/>
    <w:rsid w:val="003F2A44"/>
    <w:rsid w:val="003F3902"/>
    <w:rsid w:val="00433094"/>
    <w:rsid w:val="0047240C"/>
    <w:rsid w:val="00476220"/>
    <w:rsid w:val="004850A0"/>
    <w:rsid w:val="004C43F2"/>
    <w:rsid w:val="004D3B51"/>
    <w:rsid w:val="004D46B6"/>
    <w:rsid w:val="004E441C"/>
    <w:rsid w:val="004F07DA"/>
    <w:rsid w:val="00533C6D"/>
    <w:rsid w:val="0055149D"/>
    <w:rsid w:val="00592E32"/>
    <w:rsid w:val="005951A4"/>
    <w:rsid w:val="0059523E"/>
    <w:rsid w:val="005B3940"/>
    <w:rsid w:val="005D21D0"/>
    <w:rsid w:val="005D53BB"/>
    <w:rsid w:val="005E2C43"/>
    <w:rsid w:val="005F2D4B"/>
    <w:rsid w:val="0067228D"/>
    <w:rsid w:val="006821D0"/>
    <w:rsid w:val="006A266F"/>
    <w:rsid w:val="006B0192"/>
    <w:rsid w:val="006C48D7"/>
    <w:rsid w:val="006D23B4"/>
    <w:rsid w:val="006D5B17"/>
    <w:rsid w:val="006E13F8"/>
    <w:rsid w:val="00703CE0"/>
    <w:rsid w:val="00711D24"/>
    <w:rsid w:val="00726475"/>
    <w:rsid w:val="00727A92"/>
    <w:rsid w:val="00746F8D"/>
    <w:rsid w:val="00770D87"/>
    <w:rsid w:val="00783299"/>
    <w:rsid w:val="0078436E"/>
    <w:rsid w:val="00792B68"/>
    <w:rsid w:val="007934AF"/>
    <w:rsid w:val="007962A2"/>
    <w:rsid w:val="007A0236"/>
    <w:rsid w:val="007B1240"/>
    <w:rsid w:val="007B147F"/>
    <w:rsid w:val="007C3731"/>
    <w:rsid w:val="007F1F48"/>
    <w:rsid w:val="007F3D9D"/>
    <w:rsid w:val="00811610"/>
    <w:rsid w:val="00832D6F"/>
    <w:rsid w:val="008340AD"/>
    <w:rsid w:val="00842669"/>
    <w:rsid w:val="008553F6"/>
    <w:rsid w:val="008761B4"/>
    <w:rsid w:val="0088278D"/>
    <w:rsid w:val="00885AF7"/>
    <w:rsid w:val="008B7543"/>
    <w:rsid w:val="008B7BA1"/>
    <w:rsid w:val="008F1AC6"/>
    <w:rsid w:val="009413FD"/>
    <w:rsid w:val="00975CEF"/>
    <w:rsid w:val="0098514F"/>
    <w:rsid w:val="00985247"/>
    <w:rsid w:val="009A03E5"/>
    <w:rsid w:val="009A334C"/>
    <w:rsid w:val="009A6B6B"/>
    <w:rsid w:val="009A77A3"/>
    <w:rsid w:val="009B6DE8"/>
    <w:rsid w:val="009E1769"/>
    <w:rsid w:val="009E2BF8"/>
    <w:rsid w:val="009E3866"/>
    <w:rsid w:val="009F186A"/>
    <w:rsid w:val="009F3C05"/>
    <w:rsid w:val="009F72CC"/>
    <w:rsid w:val="009F75A5"/>
    <w:rsid w:val="00A21F5E"/>
    <w:rsid w:val="00A31A8B"/>
    <w:rsid w:val="00A3252C"/>
    <w:rsid w:val="00A422C5"/>
    <w:rsid w:val="00A42AAC"/>
    <w:rsid w:val="00A43176"/>
    <w:rsid w:val="00A61011"/>
    <w:rsid w:val="00AA2D18"/>
    <w:rsid w:val="00AA6A1A"/>
    <w:rsid w:val="00AA7539"/>
    <w:rsid w:val="00AB328F"/>
    <w:rsid w:val="00AC257C"/>
    <w:rsid w:val="00B124BE"/>
    <w:rsid w:val="00B1285F"/>
    <w:rsid w:val="00B2578E"/>
    <w:rsid w:val="00B26B1A"/>
    <w:rsid w:val="00B807EF"/>
    <w:rsid w:val="00B95BBC"/>
    <w:rsid w:val="00BC0D72"/>
    <w:rsid w:val="00BC5CF2"/>
    <w:rsid w:val="00BC6E5B"/>
    <w:rsid w:val="00BC79CD"/>
    <w:rsid w:val="00BD0E23"/>
    <w:rsid w:val="00BD1AFE"/>
    <w:rsid w:val="00BD351F"/>
    <w:rsid w:val="00BD37CF"/>
    <w:rsid w:val="00BE11F7"/>
    <w:rsid w:val="00C141E5"/>
    <w:rsid w:val="00C163E1"/>
    <w:rsid w:val="00C22674"/>
    <w:rsid w:val="00C33810"/>
    <w:rsid w:val="00C478BA"/>
    <w:rsid w:val="00C64D4F"/>
    <w:rsid w:val="00C65CF1"/>
    <w:rsid w:val="00C716E4"/>
    <w:rsid w:val="00C74A67"/>
    <w:rsid w:val="00C911BE"/>
    <w:rsid w:val="00CB4CB4"/>
    <w:rsid w:val="00CE5754"/>
    <w:rsid w:val="00CF0851"/>
    <w:rsid w:val="00CF4C37"/>
    <w:rsid w:val="00CF54E3"/>
    <w:rsid w:val="00D03C99"/>
    <w:rsid w:val="00D21052"/>
    <w:rsid w:val="00D43914"/>
    <w:rsid w:val="00DA2E2E"/>
    <w:rsid w:val="00DA6B30"/>
    <w:rsid w:val="00DC18B9"/>
    <w:rsid w:val="00DD7BE7"/>
    <w:rsid w:val="00E207DE"/>
    <w:rsid w:val="00E3117E"/>
    <w:rsid w:val="00E364E9"/>
    <w:rsid w:val="00E46D87"/>
    <w:rsid w:val="00E710B1"/>
    <w:rsid w:val="00E95280"/>
    <w:rsid w:val="00EF4249"/>
    <w:rsid w:val="00F35227"/>
    <w:rsid w:val="00F417F1"/>
    <w:rsid w:val="00F43D0D"/>
    <w:rsid w:val="00F705FE"/>
    <w:rsid w:val="00F71333"/>
    <w:rsid w:val="00FA3452"/>
    <w:rsid w:val="00FC0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A34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2647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885A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85AF7"/>
    <w:rPr>
      <w:sz w:val="24"/>
      <w:szCs w:val="24"/>
    </w:rPr>
  </w:style>
  <w:style w:type="paragraph" w:styleId="a7">
    <w:name w:val="footer"/>
    <w:basedOn w:val="a"/>
    <w:link w:val="a8"/>
    <w:rsid w:val="00885A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85AF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Администрация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creator>Специалист</dc:creator>
  <cp:lastModifiedBy>Пользователь</cp:lastModifiedBy>
  <cp:revision>2</cp:revision>
  <cp:lastPrinted>2019-12-18T04:46:00Z</cp:lastPrinted>
  <dcterms:created xsi:type="dcterms:W3CDTF">2025-01-08T09:25:00Z</dcterms:created>
  <dcterms:modified xsi:type="dcterms:W3CDTF">2025-01-08T09:25:00Z</dcterms:modified>
</cp:coreProperties>
</file>